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B" w:rsidRPr="006F5F4B" w:rsidRDefault="006F5F4B" w:rsidP="006F5F4B">
      <w:pPr>
        <w:ind w:left="255"/>
        <w:outlineLvl w:val="1"/>
        <w:rPr>
          <w:bCs/>
          <w:color w:val="003399"/>
          <w:kern w:val="36"/>
          <w:sz w:val="48"/>
          <w:szCs w:val="48"/>
        </w:rPr>
      </w:pPr>
      <w:r w:rsidRPr="006F5F4B">
        <w:rPr>
          <w:bCs/>
          <w:color w:val="003399"/>
          <w:kern w:val="36"/>
          <w:sz w:val="48"/>
          <w:szCs w:val="48"/>
        </w:rPr>
        <w:t>Otázky a odpovědi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proofErr w:type="gramStart"/>
      <w:r w:rsidRPr="006F5F4B">
        <w:rPr>
          <w:b w:val="0"/>
          <w:color w:val="999999"/>
          <w:sz w:val="16"/>
        </w:rPr>
        <w:t>22.8.2013</w:t>
      </w:r>
      <w:proofErr w:type="gramEnd"/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spacing w:after="24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Zodpovězení nejčastějších otázek týkajících se kotlíkové dotace. </w:t>
      </w:r>
    </w:p>
    <w:p w:rsidR="006F5F4B" w:rsidRPr="006F5F4B" w:rsidRDefault="006F5F4B" w:rsidP="006F5F4B">
      <w:pPr>
        <w:numPr>
          <w:ilvl w:val="0"/>
          <w:numId w:val="1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 xml:space="preserve">1) Čeho se dotační program na výměnu kotlů týká?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Cílem Společného programu na podporu výměny kotlů je snížení znečištění ovzduší z malých spalovacích zdrojů do tepelného výkonu 50 kW (tzv. lokální topeniště) využívajících tuhá paliva na území Středočeského kraje. Tohoto bude dosaženo náhradou stávajících kotlů na  tuhá paliva novými účinnými </w:t>
      </w:r>
      <w:proofErr w:type="spellStart"/>
      <w:r w:rsidRPr="006F5F4B">
        <w:rPr>
          <w:b w:val="0"/>
          <w:color w:val="333333"/>
          <w:sz w:val="20"/>
        </w:rPr>
        <w:t>nízkoemisními</w:t>
      </w:r>
      <w:proofErr w:type="spellEnd"/>
      <w:r w:rsidRPr="006F5F4B">
        <w:rPr>
          <w:b w:val="0"/>
          <w:color w:val="333333"/>
          <w:sz w:val="20"/>
        </w:rPr>
        <w:t xml:space="preserve"> kotli: </w:t>
      </w:r>
    </w:p>
    <w:p w:rsidR="006F5F4B" w:rsidRPr="006F5F4B" w:rsidRDefault="006F5F4B" w:rsidP="006F5F4B">
      <w:pPr>
        <w:numPr>
          <w:ilvl w:val="1"/>
          <w:numId w:val="2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kotel na tuhá paliva emisní třídy 3 ČSN EN 303-5 nebo vyšší s automatickým dávkováním paliva, které neumožňuje bez úprav ruční přikládání a jeho výrobce či prodejce tuto možnost nedeklaruje (propagační materiály, materiály, webové stránky, prospekty atd.); </w:t>
      </w:r>
    </w:p>
    <w:p w:rsidR="006F5F4B" w:rsidRPr="006F5F4B" w:rsidRDefault="006F5F4B" w:rsidP="006F5F4B">
      <w:pPr>
        <w:numPr>
          <w:ilvl w:val="1"/>
          <w:numId w:val="2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zplyňovací kotel emisní třídy 4 ČSN EN 303-5 nebo vyšší na tuhá paliva při současné  instalaci akumulační nádoby o celkovém objemu minimálně 55 l vodního objemu  na každý kW instalovaného výkonu; </w:t>
      </w:r>
    </w:p>
    <w:p w:rsidR="006F5F4B" w:rsidRPr="006F5F4B" w:rsidRDefault="006F5F4B" w:rsidP="006F5F4B">
      <w:pPr>
        <w:numPr>
          <w:ilvl w:val="1"/>
          <w:numId w:val="2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atmosférický nebo kondenzační kotel na plynná paliva.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Požadavky na účinnost kotle a emisní parametry jsou definovány Metodickým pokynem MŽP, Odboru ochrany ovzduší, k definici </w:t>
      </w:r>
      <w:proofErr w:type="spellStart"/>
      <w:r w:rsidRPr="006F5F4B">
        <w:rPr>
          <w:b w:val="0"/>
          <w:color w:val="333333"/>
          <w:sz w:val="20"/>
        </w:rPr>
        <w:t>nízkoemisního</w:t>
      </w:r>
      <w:proofErr w:type="spellEnd"/>
      <w:r w:rsidRPr="006F5F4B">
        <w:rPr>
          <w:b w:val="0"/>
          <w:color w:val="333333"/>
          <w:sz w:val="20"/>
        </w:rPr>
        <w:t xml:space="preserve"> spalovacího zdroje (viz </w:t>
      </w:r>
      <w:hyperlink r:id="rId5" w:tgtFrame="_blank" w:tooltip="Tento odkaz směřuje mimo webové stránky kraje" w:history="1">
        <w:r w:rsidRPr="006F5F4B">
          <w:rPr>
            <w:b w:val="0"/>
            <w:color w:val="184195"/>
            <w:sz w:val="20"/>
            <w:u w:val="single"/>
          </w:rPr>
          <w:t>http://www.mzp.cz/</w:t>
        </w:r>
      </w:hyperlink>
      <w:r w:rsidRPr="006F5F4B">
        <w:rPr>
          <w:b w:val="0"/>
          <w:color w:val="333333"/>
          <w:sz w:val="20"/>
        </w:rPr>
        <w:t>, Ochrana ovzduší – Legislativa a metodické pokyny – Metodické pokyny nebo </w:t>
      </w:r>
      <w:hyperlink r:id="rId6" w:tgtFrame="_blank" w:tooltip="Tento odkaz směřuje mimo webové stránky kraje" w:history="1">
        <w:r w:rsidRPr="006F5F4B">
          <w:rPr>
            <w:b w:val="0"/>
            <w:color w:val="184195"/>
            <w:sz w:val="20"/>
            <w:u w:val="single"/>
          </w:rPr>
          <w:t>http://www.opzp.cz/soubor-ke-stazeni/13/4083-metodicky_pokyn_nizkoemisni_spalovaci_zdroj.pdf</w:t>
        </w:r>
      </w:hyperlink>
      <w:r w:rsidRPr="006F5F4B">
        <w:rPr>
          <w:b w:val="0"/>
          <w:color w:val="333333"/>
          <w:sz w:val="20"/>
        </w:rPr>
        <w:t xml:space="preserve">). </w:t>
      </w:r>
      <w:r w:rsidRPr="006F5F4B">
        <w:rPr>
          <w:b w:val="0"/>
          <w:color w:val="333333"/>
          <w:sz w:val="20"/>
        </w:rPr>
        <w:br/>
        <w:t xml:space="preserve">Nově instalovaný kotel musí být uvedený v Seznamu výrobků a technologií dostupném na webových stránkách Fondu (viz </w:t>
      </w:r>
      <w:hyperlink r:id="rId7" w:tgtFrame="_blank" w:tooltip="Tento odkaz směřuje mimo webové stránky kraje" w:history="1">
        <w:r w:rsidRPr="006F5F4B">
          <w:rPr>
            <w:b w:val="0"/>
            <w:color w:val="184195"/>
            <w:sz w:val="20"/>
            <w:u w:val="single"/>
          </w:rPr>
          <w:t>http://www.sfzp.cz/</w:t>
        </w:r>
      </w:hyperlink>
      <w:r w:rsidRPr="006F5F4B">
        <w:rPr>
          <w:b w:val="0"/>
          <w:color w:val="333333"/>
          <w:sz w:val="20"/>
        </w:rPr>
        <w:t>, sekce Národní programy, Přílohy XIII).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3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 xml:space="preserve">2) Kdo je oprávněným žadatelem o dotaci?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Žadatelem o dotaci může být pouze fyzická osoba způsobilá k právním úkonům, a to za předpokladu, že dotace nebude použita za účelem podnikání. Žadatel je vlastník rodinného domu, spoluvlastník rodinného domu, popř. vlastník bytové jednotky v takovém rodinném domě, a to za předpokladu písemného souhlasu ostatních spoluvlastníků většinového podílu na rodinném domě. V případě společného jmění manželů je nutný písemný souhlas druhého z manželů.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4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3) Kdo může podat žádost?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Žádost o dotaci včetně příloh lze podat pouze osobně v jednom podepsaném originále na podacím místě Krajského úřadu Středočeského kraje na adrese – vchod B z ulice </w:t>
      </w:r>
      <w:proofErr w:type="spellStart"/>
      <w:r w:rsidRPr="006F5F4B">
        <w:rPr>
          <w:b w:val="0"/>
          <w:color w:val="333333"/>
          <w:sz w:val="20"/>
        </w:rPr>
        <w:t>Zborovská</w:t>
      </w:r>
      <w:proofErr w:type="spellEnd"/>
      <w:r w:rsidRPr="006F5F4B">
        <w:rPr>
          <w:b w:val="0"/>
          <w:color w:val="333333"/>
          <w:sz w:val="20"/>
        </w:rPr>
        <w:t xml:space="preserve"> 11, Praha 5. Na jedno podání může podatel doručit max. 1 žádost. Podatelem se rozumí osoba, která doručí osobně žádost na příslušné podací místo. Podateli bude vystaveno potvrzení o přijetí žádosti a přiděleno jedinečné pořadové číslo vygenerované příslušným informačním systémem. </w:t>
      </w:r>
      <w:r w:rsidRPr="006F5F4B">
        <w:rPr>
          <w:b w:val="0"/>
          <w:color w:val="333333"/>
          <w:sz w:val="20"/>
        </w:rPr>
        <w:br/>
        <w:t>Žadatel (osoba, která je vlastníkem nebo spoluvlastníkem rodinného domu užívaného k bydlení) nemusí se svojí žádostí přijít osobně, ale může za sebe někoho poslat.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5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4)  Na co  nesmím zapomenout při podání žádosti?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Žádost musí být </w:t>
      </w:r>
      <w:r w:rsidRPr="006F5F4B">
        <w:rPr>
          <w:bCs/>
          <w:color w:val="333333"/>
          <w:sz w:val="20"/>
        </w:rPr>
        <w:t xml:space="preserve">podepsána </w:t>
      </w:r>
      <w:r w:rsidRPr="006F5F4B">
        <w:rPr>
          <w:b w:val="0"/>
          <w:color w:val="333333"/>
          <w:sz w:val="20"/>
        </w:rPr>
        <w:t>vlastnoručním podpisem žadatele, v opačném případě bude vyřazena.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6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5)  Jakým způsobem označit  zalepenou obálku s žádostí?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>
        <w:rPr>
          <w:b w:val="0"/>
          <w:noProof/>
          <w:color w:val="333333"/>
          <w:sz w:val="20"/>
        </w:rPr>
        <w:drawing>
          <wp:inline distT="0" distB="0" distL="0" distR="0">
            <wp:extent cx="6831725" cy="2546114"/>
            <wp:effectExtent l="19050" t="0" r="7225" b="0"/>
            <wp:docPr id="2" name="obrázek 2" descr="Kotlíková dotace – obá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líková dotace – obál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360" cy="254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4B" w:rsidRPr="006F5F4B" w:rsidRDefault="006F5F4B" w:rsidP="006F5F4B">
      <w:pPr>
        <w:numPr>
          <w:ilvl w:val="0"/>
          <w:numId w:val="7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lastRenderedPageBreak/>
        <w:t>6)  Na co si musím dát pozor při označování obálky?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Na obálce s žádostí musí být typ kotle označen </w:t>
      </w:r>
      <w:r w:rsidRPr="006F5F4B">
        <w:rPr>
          <w:bCs/>
          <w:color w:val="333333"/>
          <w:sz w:val="20"/>
        </w:rPr>
        <w:t xml:space="preserve">pouze písmenem, </w:t>
      </w:r>
      <w:r w:rsidRPr="006F5F4B">
        <w:rPr>
          <w:b w:val="0"/>
          <w:color w:val="333333"/>
          <w:sz w:val="20"/>
        </w:rPr>
        <w:t xml:space="preserve">např.: </w:t>
      </w:r>
      <w:proofErr w:type="gramStart"/>
      <w:r w:rsidRPr="006F5F4B">
        <w:rPr>
          <w:b w:val="0"/>
          <w:color w:val="333333"/>
          <w:sz w:val="20"/>
        </w:rPr>
        <w:t>A (B,C,D,E).</w:t>
      </w:r>
      <w:proofErr w:type="gramEnd"/>
      <w:r w:rsidRPr="006F5F4B">
        <w:rPr>
          <w:b w:val="0"/>
          <w:color w:val="333333"/>
          <w:sz w:val="20"/>
        </w:rPr>
        <w:t xml:space="preserve"> </w:t>
      </w:r>
      <w:r w:rsidRPr="006F5F4B">
        <w:rPr>
          <w:bCs/>
          <w:color w:val="333333"/>
          <w:sz w:val="20"/>
        </w:rPr>
        <w:t>NEUVÁDĚJTE CELÝ NÁZEV KOTLE!</w:t>
      </w:r>
      <w:r w:rsidRPr="006F5F4B">
        <w:rPr>
          <w:bCs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8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 xml:space="preserve">7) Kde najdu typ kotle a jak vysokou dotaci mohu dostat? </w:t>
      </w:r>
    </w:p>
    <w:tbl>
      <w:tblPr>
        <w:tblW w:w="9380" w:type="dxa"/>
        <w:tblCellMar>
          <w:left w:w="0" w:type="dxa"/>
          <w:right w:w="0" w:type="dxa"/>
        </w:tblCellMar>
        <w:tblLook w:val="04A0"/>
      </w:tblPr>
      <w:tblGrid>
        <w:gridCol w:w="1748"/>
        <w:gridCol w:w="4293"/>
        <w:gridCol w:w="3153"/>
        <w:gridCol w:w="186"/>
      </w:tblGrid>
      <w:tr w:rsidR="006F5F4B" w:rsidRPr="006F5F4B" w:rsidTr="006F5F4B">
        <w:trPr>
          <w:trHeight w:val="322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Typ kotle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Max. výše podpory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84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A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 w:val="0"/>
                <w:color w:val="000000"/>
                <w:szCs w:val="24"/>
              </w:rPr>
              <w:t xml:space="preserve">kotel na tuhá paliva </w:t>
            </w:r>
            <w:r w:rsidRPr="006F5F4B">
              <w:rPr>
                <w:bCs/>
                <w:color w:val="000000"/>
                <w:szCs w:val="24"/>
              </w:rPr>
              <w:t xml:space="preserve">emisní třídy 3 </w:t>
            </w:r>
            <w:r w:rsidRPr="006F5F4B">
              <w:rPr>
                <w:b w:val="0"/>
                <w:color w:val="000000"/>
                <w:szCs w:val="24"/>
              </w:rPr>
              <w:t xml:space="preserve">ČSN EN 303-5 s automatickým dávkováním paliva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40 000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9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B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 w:val="0"/>
                <w:color w:val="000000"/>
                <w:szCs w:val="24"/>
              </w:rPr>
              <w:t xml:space="preserve">kotel na tuhá paliva </w:t>
            </w:r>
            <w:r w:rsidRPr="006F5F4B">
              <w:rPr>
                <w:bCs/>
                <w:color w:val="000000"/>
                <w:szCs w:val="24"/>
              </w:rPr>
              <w:t xml:space="preserve">emisní třídy 4 </w:t>
            </w:r>
            <w:r w:rsidRPr="006F5F4B">
              <w:rPr>
                <w:b w:val="0"/>
                <w:color w:val="000000"/>
                <w:szCs w:val="24"/>
              </w:rPr>
              <w:t xml:space="preserve">ČSN EN 303-5 nebo vyšší s automatickým dávkováním paliva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60 000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12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C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zplyňovací kotel na tuhá paliva s akumulační nádobou, emisní třída 4 </w:t>
            </w:r>
            <w:r w:rsidRPr="006F5F4B">
              <w:rPr>
                <w:b w:val="0"/>
                <w:color w:val="000000"/>
                <w:szCs w:val="24"/>
              </w:rPr>
              <w:t xml:space="preserve">ČSN EN 303-5 nebo vyšší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55 000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11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D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plynový </w:t>
            </w:r>
            <w:proofErr w:type="spellStart"/>
            <w:r w:rsidRPr="006F5F4B">
              <w:rPr>
                <w:bCs/>
                <w:color w:val="000000"/>
                <w:szCs w:val="24"/>
              </w:rPr>
              <w:t>atmosferický</w:t>
            </w:r>
            <w:proofErr w:type="spellEnd"/>
            <w:r w:rsidRPr="006F5F4B">
              <w:rPr>
                <w:bCs/>
                <w:color w:val="000000"/>
                <w:szCs w:val="24"/>
              </w:rPr>
              <w:t xml:space="preserve"> kotel na zemní plyn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15 000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6F5F4B" w:rsidRPr="006F5F4B" w:rsidTr="006F5F4B">
        <w:trPr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 w:val="28"/>
                <w:szCs w:val="28"/>
              </w:rPr>
              <w:t xml:space="preserve">E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plynový kondenzační kotel na zemní plyn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5F4B" w:rsidRPr="006F5F4B" w:rsidRDefault="006F5F4B" w:rsidP="006F5F4B">
            <w:pPr>
              <w:jc w:val="center"/>
              <w:rPr>
                <w:b w:val="0"/>
                <w:color w:val="333333"/>
                <w:sz w:val="22"/>
                <w:szCs w:val="22"/>
              </w:rPr>
            </w:pPr>
            <w:r w:rsidRPr="006F5F4B">
              <w:rPr>
                <w:bCs/>
                <w:color w:val="000000"/>
                <w:szCs w:val="24"/>
              </w:rPr>
              <w:t xml:space="preserve">20 000 Kč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F5F4B" w:rsidRPr="006F5F4B" w:rsidRDefault="006F5F4B" w:rsidP="006F5F4B">
            <w:pPr>
              <w:rPr>
                <w:b w:val="0"/>
                <w:color w:val="333333"/>
                <w:sz w:val="22"/>
                <w:szCs w:val="22"/>
              </w:rPr>
            </w:pPr>
          </w:p>
        </w:tc>
      </w:tr>
    </w:tbl>
    <w:p w:rsidR="006F5F4B" w:rsidRPr="006F5F4B" w:rsidRDefault="006F5F4B" w:rsidP="006F5F4B">
      <w:pPr>
        <w:spacing w:after="240"/>
        <w:rPr>
          <w:b w:val="0"/>
          <w:color w:val="333333"/>
          <w:sz w:val="20"/>
        </w:rPr>
      </w:pPr>
    </w:p>
    <w:p w:rsidR="006F5F4B" w:rsidRPr="006F5F4B" w:rsidRDefault="006F5F4B" w:rsidP="006F5F4B">
      <w:pPr>
        <w:numPr>
          <w:ilvl w:val="0"/>
          <w:numId w:val="9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8)  Co se stane, pokud neuvedu typ kotle?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V takovém případě bude Vaše žádost vyřazena.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0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9)  Mohu změnit typ kotle po odevzdání žádosti?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Žadatel není oprávněn požadavek na typ kotle po odevzdání žádosti měnit.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1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10)  Na jaký kotel mohu požádat o dotaci?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Dotace je určena pouze na výměnu stávajícího ručně plněného kotle na tuhá paliva, který je připojen na otopnou soustavu za nové účinné </w:t>
      </w:r>
      <w:proofErr w:type="spellStart"/>
      <w:r w:rsidRPr="006F5F4B">
        <w:rPr>
          <w:b w:val="0"/>
          <w:color w:val="333333"/>
          <w:sz w:val="20"/>
        </w:rPr>
        <w:t>nízkoemisní</w:t>
      </w:r>
      <w:proofErr w:type="spellEnd"/>
      <w:r w:rsidRPr="006F5F4B">
        <w:rPr>
          <w:b w:val="0"/>
          <w:color w:val="333333"/>
          <w:sz w:val="20"/>
        </w:rPr>
        <w:t xml:space="preserve"> tepelné zdroje.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2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11)  Mohu vyměnit kotel na chatě?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Ne. Pro účely tohoto dotačního programu se nemovitostí užívanou k bydlení rozumí rodinný dům, který je na listu vlastnictví označen způsobem využití stavby jako rodinný dům nebo objekt k bydlení s číslem popisným.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3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12)  Pokud jsem kotel zakoupila před vyhlášením výzvy, tedy před 2. září 2013 mohu přesto o dotaci žádat?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Zpětně není možné o dotaci žádat.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4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13)  Mohu žádost o dotaci podat před 2. zářím?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V žádném případě, </w:t>
      </w:r>
      <w:r w:rsidRPr="006F5F4B">
        <w:rPr>
          <w:bCs/>
          <w:color w:val="333333"/>
          <w:sz w:val="20"/>
        </w:rPr>
        <w:t>žádost podaná před termínem bude vyřazena!</w:t>
      </w:r>
      <w:r w:rsidRPr="006F5F4B">
        <w:rPr>
          <w:bCs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5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lastRenderedPageBreak/>
        <w:t>14)  V jaký okamžik mohu kotel koupit a nechat si ho nainstalovat?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Uznatelný náklad vznikl příjemci a byl jím uhrazen v období </w:t>
      </w:r>
      <w:r w:rsidRPr="006F5F4B">
        <w:rPr>
          <w:bCs/>
          <w:color w:val="333333"/>
          <w:sz w:val="20"/>
        </w:rPr>
        <w:t xml:space="preserve">realizace projektu, </w:t>
      </w:r>
      <w:r w:rsidRPr="006F5F4B">
        <w:rPr>
          <w:b w:val="0"/>
          <w:color w:val="333333"/>
          <w:sz w:val="20"/>
        </w:rPr>
        <w:t>tj. od vyhlášení výzvy do 9 měsíců od odeslání vyrozumění o poskytnutí dotace.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6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 xml:space="preserve">15)  Mohu si vybrat kotel podle sebe, nebo existuje nějaký seznam kotlů, na které je možné dotaci získat?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Podporované budou pouze ty kotle, které budou zapsané na Seznamu výrobků a technologií (SVT) dostupném na </w:t>
      </w:r>
      <w:hyperlink r:id="rId9" w:tooltip="Tento odkaz směřuje mimo webové stránky kraje" w:history="1">
        <w:r w:rsidRPr="006F5F4B">
          <w:rPr>
            <w:b w:val="0"/>
            <w:color w:val="184195"/>
            <w:sz w:val="20"/>
            <w:u w:val="single"/>
          </w:rPr>
          <w:t>http://registrace.nzu2013.cz/np/vyhledavani-vyrobku/</w:t>
        </w:r>
      </w:hyperlink>
      <w:r w:rsidRPr="006F5F4B">
        <w:rPr>
          <w:b w:val="0"/>
          <w:color w:val="333333"/>
          <w:sz w:val="20"/>
        </w:rPr>
        <w:t>, jen z těchto kotlů je možné si vybrat.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7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16)  Kdy dostanu podporu – až kotel koupím, nebo předem?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Po vyhodnocení Vaší žádosti, dostanete písemné vyrozumění, zda Vám dotace bude nebo nebude poskytnuta. Podpora bude vyplácena až po nákupu a instalaci nového kotle, znehodnocení starého kotle a uzavření smlouvy s Krajem.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>Peníze budou převedeny na číslo účtu žadatele, které je uvedeno ve „Smlouvě o poskytnutí dotace v rámci Společného programu na podporu výměny kotlů“. Žadatel musí být  majitelem tohoto účtu.</w:t>
      </w:r>
      <w:r w:rsidRPr="006F5F4B">
        <w:rPr>
          <w:b w:val="0"/>
          <w:color w:val="333333"/>
          <w:sz w:val="20"/>
        </w:rPr>
        <w:br/>
        <w:t> </w:t>
      </w:r>
    </w:p>
    <w:p w:rsidR="006F5F4B" w:rsidRPr="006F5F4B" w:rsidRDefault="006F5F4B" w:rsidP="006F5F4B">
      <w:pPr>
        <w:numPr>
          <w:ilvl w:val="0"/>
          <w:numId w:val="18"/>
        </w:numPr>
        <w:spacing w:before="100" w:beforeAutospacing="1" w:after="150"/>
        <w:ind w:left="615" w:right="300"/>
        <w:rPr>
          <w:b w:val="0"/>
          <w:color w:val="333333"/>
          <w:sz w:val="20"/>
        </w:rPr>
      </w:pPr>
      <w:r w:rsidRPr="006F5F4B">
        <w:rPr>
          <w:bCs/>
          <w:color w:val="333333"/>
          <w:sz w:val="20"/>
        </w:rPr>
        <w:t>17)  Jak bude vypadat formulář žádosti o poskytnutí dotace?</w:t>
      </w:r>
      <w:r w:rsidRPr="006F5F4B">
        <w:rPr>
          <w:b w:val="0"/>
          <w:color w:val="333333"/>
          <w:sz w:val="20"/>
        </w:rPr>
        <w:t xml:space="preserve">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Žadatel předkládá na základě výzvy žádost, kterou tvoří: </w:t>
      </w:r>
    </w:p>
    <w:p w:rsidR="006F5F4B" w:rsidRPr="006F5F4B" w:rsidRDefault="006F5F4B" w:rsidP="006F5F4B">
      <w:pPr>
        <w:numPr>
          <w:ilvl w:val="1"/>
          <w:numId w:val="19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a) čestné prohlášení o vlastnictví rodinného domu/bytové jednotky a o tom, že bude instalováno zařízení uvedené v Seznamu výrobků a technologií </w:t>
      </w:r>
    </w:p>
    <w:p w:rsidR="006F5F4B" w:rsidRPr="006F5F4B" w:rsidRDefault="006F5F4B" w:rsidP="006F5F4B">
      <w:pPr>
        <w:numPr>
          <w:ilvl w:val="1"/>
          <w:numId w:val="19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b) v případě více vlastníků rodinného domu/bytové jednotky nebo vlastnictví nemovitosti ve společném jmění manželů také písemný souhlas ostatních vlastníků většinového podílu nebo druhého z manželů k nákupu, instalaci a provozování nového kotle v rodinném domě </w:t>
      </w:r>
    </w:p>
    <w:p w:rsidR="006F5F4B" w:rsidRPr="006F5F4B" w:rsidRDefault="006F5F4B" w:rsidP="006F5F4B">
      <w:pPr>
        <w:numPr>
          <w:ilvl w:val="1"/>
          <w:numId w:val="19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c)  </w:t>
      </w:r>
      <w:r w:rsidRPr="006F5F4B">
        <w:rPr>
          <w:bCs/>
          <w:color w:val="333333"/>
          <w:sz w:val="20"/>
        </w:rPr>
        <w:t xml:space="preserve">fotodokumentaci stávajícího kotle napojeného na otopnou soustavu a komínové těleso </w:t>
      </w:r>
    </w:p>
    <w:p w:rsidR="006F5F4B" w:rsidRPr="006F5F4B" w:rsidRDefault="006F5F4B" w:rsidP="006F5F4B">
      <w:pPr>
        <w:numPr>
          <w:ilvl w:val="1"/>
          <w:numId w:val="19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d) pro účely likvidace starého kotle na tuhá paliva bude tento kotel znehodnocen a zlikvidován firmou provádějící instalaci, včetně doložení fotodokumentace </w:t>
      </w:r>
    </w:p>
    <w:p w:rsidR="006F5F4B" w:rsidRPr="006F5F4B" w:rsidRDefault="006F5F4B" w:rsidP="006F5F4B">
      <w:pPr>
        <w:numPr>
          <w:ilvl w:val="1"/>
          <w:numId w:val="19"/>
        </w:numPr>
        <w:spacing w:before="100" w:beforeAutospacing="1" w:after="60"/>
        <w:ind w:left="960" w:right="450"/>
        <w:rPr>
          <w:b w:val="0"/>
          <w:color w:val="333333"/>
          <w:sz w:val="20"/>
        </w:rPr>
      </w:pPr>
      <w:r w:rsidRPr="006F5F4B">
        <w:rPr>
          <w:b w:val="0"/>
          <w:color w:val="333333"/>
          <w:sz w:val="20"/>
        </w:rPr>
        <w:t xml:space="preserve">e) určení typu nového </w:t>
      </w:r>
      <w:proofErr w:type="spellStart"/>
      <w:r w:rsidRPr="006F5F4B">
        <w:rPr>
          <w:b w:val="0"/>
          <w:color w:val="333333"/>
          <w:sz w:val="20"/>
        </w:rPr>
        <w:t>nízkoemisního</w:t>
      </w:r>
      <w:proofErr w:type="spellEnd"/>
      <w:r w:rsidRPr="006F5F4B">
        <w:rPr>
          <w:b w:val="0"/>
          <w:color w:val="333333"/>
          <w:sz w:val="20"/>
        </w:rPr>
        <w:t xml:space="preserve"> kotle podle tabulky </w:t>
      </w:r>
    </w:p>
    <w:p w:rsidR="006F5F4B" w:rsidRPr="006F5F4B" w:rsidRDefault="006F5F4B" w:rsidP="006F5F4B">
      <w:pPr>
        <w:rPr>
          <w:b w:val="0"/>
          <w:color w:val="333333"/>
          <w:sz w:val="20"/>
        </w:rPr>
      </w:pPr>
    </w:p>
    <w:p w:rsidR="006F5F4B" w:rsidRPr="006F5F4B" w:rsidRDefault="006F5F4B" w:rsidP="006F5F4B">
      <w:pPr>
        <w:rPr>
          <w:b w:val="0"/>
          <w:color w:val="333333"/>
          <w:szCs w:val="24"/>
        </w:rPr>
      </w:pPr>
      <w:r w:rsidRPr="006F5F4B">
        <w:rPr>
          <w:b w:val="0"/>
          <w:color w:val="333333"/>
          <w:szCs w:val="24"/>
        </w:rPr>
        <w:t xml:space="preserve">Přejít na navigaci: </w:t>
      </w:r>
    </w:p>
    <w:p w:rsidR="006F5F4B" w:rsidRPr="006F5F4B" w:rsidRDefault="001F7F52" w:rsidP="006F5F4B">
      <w:pPr>
        <w:numPr>
          <w:ilvl w:val="0"/>
          <w:numId w:val="20"/>
        </w:numPr>
        <w:spacing w:before="100" w:beforeAutospacing="1" w:after="100" w:afterAutospacing="1"/>
        <w:ind w:left="870"/>
        <w:rPr>
          <w:b w:val="0"/>
          <w:color w:val="333333"/>
          <w:szCs w:val="24"/>
        </w:rPr>
      </w:pPr>
      <w:hyperlink r:id="rId10" w:anchor="menuhorizontalni" w:history="1">
        <w:r w:rsidR="006F5F4B" w:rsidRPr="006F5F4B">
          <w:rPr>
            <w:b w:val="0"/>
            <w:color w:val="0000FF"/>
            <w:szCs w:val="24"/>
            <w:u w:val="single"/>
          </w:rPr>
          <w:t>Hlavní menu portálu</w:t>
        </w:r>
      </w:hyperlink>
      <w:r w:rsidR="006F5F4B" w:rsidRPr="006F5F4B">
        <w:rPr>
          <w:b w:val="0"/>
          <w:color w:val="333333"/>
          <w:szCs w:val="24"/>
        </w:rPr>
        <w:t xml:space="preserve"> </w:t>
      </w:r>
      <w:r w:rsidR="006F5F4B" w:rsidRPr="006F5F4B">
        <w:rPr>
          <w:b w:val="0"/>
          <w:i/>
          <w:iCs/>
          <w:color w:val="333333"/>
          <w:szCs w:val="24"/>
        </w:rPr>
        <w:t>(klávesa "h")</w:t>
      </w:r>
      <w:r w:rsidR="006F5F4B" w:rsidRPr="006F5F4B">
        <w:rPr>
          <w:b w:val="0"/>
          <w:color w:val="333333"/>
          <w:szCs w:val="24"/>
        </w:rPr>
        <w:t xml:space="preserve"> </w:t>
      </w:r>
    </w:p>
    <w:p w:rsidR="006F5F4B" w:rsidRPr="006F5F4B" w:rsidRDefault="001F7F52" w:rsidP="006F5F4B">
      <w:pPr>
        <w:numPr>
          <w:ilvl w:val="0"/>
          <w:numId w:val="20"/>
        </w:numPr>
        <w:spacing w:before="100" w:beforeAutospacing="1" w:after="100" w:afterAutospacing="1"/>
        <w:ind w:left="870"/>
        <w:rPr>
          <w:b w:val="0"/>
          <w:color w:val="333333"/>
          <w:szCs w:val="24"/>
        </w:rPr>
      </w:pPr>
      <w:hyperlink r:id="rId11" w:anchor="menuadministrativa" w:history="1">
        <w:r w:rsidR="006F5F4B" w:rsidRPr="006F5F4B">
          <w:rPr>
            <w:b w:val="0"/>
            <w:color w:val="0000FF"/>
            <w:szCs w:val="24"/>
            <w:u w:val="single"/>
          </w:rPr>
          <w:t>Administrativa kraje</w:t>
        </w:r>
      </w:hyperlink>
      <w:r w:rsidR="006F5F4B" w:rsidRPr="006F5F4B">
        <w:rPr>
          <w:b w:val="0"/>
          <w:color w:val="333333"/>
          <w:szCs w:val="24"/>
        </w:rPr>
        <w:t xml:space="preserve"> </w:t>
      </w:r>
      <w:r w:rsidR="006F5F4B" w:rsidRPr="006F5F4B">
        <w:rPr>
          <w:b w:val="0"/>
          <w:i/>
          <w:iCs/>
          <w:color w:val="333333"/>
          <w:szCs w:val="24"/>
        </w:rPr>
        <w:t>(klávesa "a")</w:t>
      </w:r>
      <w:r w:rsidR="006F5F4B" w:rsidRPr="006F5F4B">
        <w:rPr>
          <w:b w:val="0"/>
          <w:color w:val="333333"/>
          <w:szCs w:val="24"/>
        </w:rPr>
        <w:t xml:space="preserve"> </w:t>
      </w:r>
    </w:p>
    <w:p w:rsidR="006F5F4B" w:rsidRPr="006F5F4B" w:rsidRDefault="001F7F52" w:rsidP="006F5F4B">
      <w:pPr>
        <w:numPr>
          <w:ilvl w:val="0"/>
          <w:numId w:val="20"/>
        </w:numPr>
        <w:spacing w:before="100" w:beforeAutospacing="1" w:after="100" w:afterAutospacing="1"/>
        <w:ind w:left="870"/>
        <w:rPr>
          <w:b w:val="0"/>
          <w:color w:val="333333"/>
          <w:szCs w:val="24"/>
        </w:rPr>
      </w:pPr>
      <w:hyperlink r:id="rId12" w:anchor="menuinformace" w:history="1">
        <w:r w:rsidR="006F5F4B" w:rsidRPr="006F5F4B">
          <w:rPr>
            <w:b w:val="0"/>
            <w:color w:val="0000FF"/>
            <w:szCs w:val="24"/>
            <w:u w:val="single"/>
          </w:rPr>
          <w:t>Informace o kraji</w:t>
        </w:r>
      </w:hyperlink>
      <w:r w:rsidR="006F5F4B" w:rsidRPr="006F5F4B">
        <w:rPr>
          <w:b w:val="0"/>
          <w:color w:val="333333"/>
          <w:szCs w:val="24"/>
        </w:rPr>
        <w:t xml:space="preserve"> </w:t>
      </w:r>
      <w:r w:rsidR="006F5F4B" w:rsidRPr="006F5F4B">
        <w:rPr>
          <w:b w:val="0"/>
          <w:i/>
          <w:iCs/>
          <w:color w:val="333333"/>
          <w:szCs w:val="24"/>
        </w:rPr>
        <w:t>(klávesa "i")</w:t>
      </w:r>
      <w:r w:rsidR="006F5F4B" w:rsidRPr="006F5F4B">
        <w:rPr>
          <w:b w:val="0"/>
          <w:color w:val="333333"/>
          <w:szCs w:val="24"/>
        </w:rPr>
        <w:t xml:space="preserve"> </w:t>
      </w:r>
    </w:p>
    <w:p w:rsidR="006F5F4B" w:rsidRPr="006F5F4B" w:rsidRDefault="001F7F52" w:rsidP="006F5F4B">
      <w:pPr>
        <w:rPr>
          <w:b w:val="0"/>
          <w:color w:val="333333"/>
          <w:szCs w:val="24"/>
        </w:rPr>
      </w:pPr>
      <w:r w:rsidRPr="001F7F52">
        <w:rPr>
          <w:b w:val="0"/>
          <w:color w:val="333333"/>
          <w:szCs w:val="24"/>
        </w:rPr>
        <w:pict>
          <v:rect id="_x0000_i1025" style="width:0;height:1.5pt" o:hralign="center" o:hrstd="t" o:hr="t" fillcolor="gray" stroked="f"/>
        </w:pict>
      </w:r>
    </w:p>
    <w:p w:rsidR="00B17D4B" w:rsidRDefault="00B17D4B"/>
    <w:sectPr w:rsidR="00B17D4B" w:rsidSect="006F5F4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0AA"/>
    <w:multiLevelType w:val="multilevel"/>
    <w:tmpl w:val="8D7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9259F"/>
    <w:multiLevelType w:val="multilevel"/>
    <w:tmpl w:val="146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690D"/>
    <w:multiLevelType w:val="multilevel"/>
    <w:tmpl w:val="AA10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B6B3E"/>
    <w:multiLevelType w:val="multilevel"/>
    <w:tmpl w:val="FFD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81E2B"/>
    <w:multiLevelType w:val="multilevel"/>
    <w:tmpl w:val="335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E2C64"/>
    <w:multiLevelType w:val="multilevel"/>
    <w:tmpl w:val="7EF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16162"/>
    <w:multiLevelType w:val="multilevel"/>
    <w:tmpl w:val="62B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A0626"/>
    <w:multiLevelType w:val="multilevel"/>
    <w:tmpl w:val="22A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D1726"/>
    <w:multiLevelType w:val="multilevel"/>
    <w:tmpl w:val="8DB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34509"/>
    <w:multiLevelType w:val="multilevel"/>
    <w:tmpl w:val="40E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A161B"/>
    <w:multiLevelType w:val="multilevel"/>
    <w:tmpl w:val="66C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405E2"/>
    <w:multiLevelType w:val="multilevel"/>
    <w:tmpl w:val="6E4A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5407E"/>
    <w:multiLevelType w:val="multilevel"/>
    <w:tmpl w:val="EB56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F59F1"/>
    <w:multiLevelType w:val="multilevel"/>
    <w:tmpl w:val="7B7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E2697"/>
    <w:multiLevelType w:val="multilevel"/>
    <w:tmpl w:val="65A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0170E"/>
    <w:multiLevelType w:val="multilevel"/>
    <w:tmpl w:val="5EC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D6083"/>
    <w:multiLevelType w:val="multilevel"/>
    <w:tmpl w:val="A14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32CDE"/>
    <w:multiLevelType w:val="multilevel"/>
    <w:tmpl w:val="07C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A27B6"/>
    <w:multiLevelType w:val="multilevel"/>
    <w:tmpl w:val="4C9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14C85"/>
    <w:multiLevelType w:val="multilevel"/>
    <w:tmpl w:val="AF0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14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F5F4B"/>
    <w:rsid w:val="00133D54"/>
    <w:rsid w:val="001D6437"/>
    <w:rsid w:val="001F7F52"/>
    <w:rsid w:val="00283A0A"/>
    <w:rsid w:val="002F682E"/>
    <w:rsid w:val="00312811"/>
    <w:rsid w:val="006F5F4B"/>
    <w:rsid w:val="00770CBF"/>
    <w:rsid w:val="00A670DA"/>
    <w:rsid w:val="00B17D4B"/>
    <w:rsid w:val="00D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82E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2F682E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2F682E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2F682E"/>
    <w:pPr>
      <w:keepNext/>
      <w:outlineLvl w:val="2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2F682E"/>
    <w:pPr>
      <w:keepNext/>
      <w:outlineLvl w:val="3"/>
    </w:pPr>
    <w:rPr>
      <w:i/>
      <w:iCs/>
      <w:sz w:val="40"/>
    </w:rPr>
  </w:style>
  <w:style w:type="paragraph" w:styleId="Nadpis5">
    <w:name w:val="heading 5"/>
    <w:basedOn w:val="Normln"/>
    <w:next w:val="Normln"/>
    <w:link w:val="Nadpis5Char"/>
    <w:qFormat/>
    <w:rsid w:val="002F682E"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link w:val="Nadpis6Char"/>
    <w:qFormat/>
    <w:rsid w:val="002F682E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2F682E"/>
    <w:pPr>
      <w:keepNext/>
      <w:outlineLvl w:val="6"/>
    </w:pPr>
    <w:rPr>
      <w:i/>
      <w:iCs/>
      <w:sz w:val="32"/>
    </w:rPr>
  </w:style>
  <w:style w:type="paragraph" w:styleId="Nadpis8">
    <w:name w:val="heading 8"/>
    <w:basedOn w:val="Normln"/>
    <w:next w:val="Normln"/>
    <w:link w:val="Nadpis8Char"/>
    <w:qFormat/>
    <w:rsid w:val="002F682E"/>
    <w:pPr>
      <w:keepNext/>
      <w:outlineLvl w:val="7"/>
    </w:pPr>
    <w:rPr>
      <w:b w:val="0"/>
      <w:bCs/>
      <w:sz w:val="28"/>
    </w:rPr>
  </w:style>
  <w:style w:type="paragraph" w:styleId="Nadpis9">
    <w:name w:val="heading 9"/>
    <w:basedOn w:val="Normln"/>
    <w:next w:val="Normln"/>
    <w:link w:val="Nadpis9Char"/>
    <w:qFormat/>
    <w:rsid w:val="002F682E"/>
    <w:pPr>
      <w:keepNext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0DA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A670DA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670DA"/>
    <w:rPr>
      <w:b/>
    </w:rPr>
  </w:style>
  <w:style w:type="paragraph" w:styleId="Bezmezer">
    <w:name w:val="No Spacing"/>
    <w:uiPriority w:val="1"/>
    <w:qFormat/>
    <w:rsid w:val="00A670DA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F682E"/>
    <w:rPr>
      <w:b/>
      <w:i/>
      <w:iCs/>
      <w:sz w:val="40"/>
    </w:rPr>
  </w:style>
  <w:style w:type="character" w:customStyle="1" w:styleId="Nadpis5Char">
    <w:name w:val="Nadpis 5 Char"/>
    <w:basedOn w:val="Standardnpsmoodstavce"/>
    <w:link w:val="Nadpis5"/>
    <w:rsid w:val="002F682E"/>
    <w:rPr>
      <w:b/>
      <w:sz w:val="32"/>
    </w:rPr>
  </w:style>
  <w:style w:type="character" w:customStyle="1" w:styleId="Nadpis6Char">
    <w:name w:val="Nadpis 6 Char"/>
    <w:basedOn w:val="Standardnpsmoodstavce"/>
    <w:link w:val="Nadpis6"/>
    <w:rsid w:val="002F682E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2F682E"/>
    <w:rPr>
      <w:b/>
      <w:i/>
      <w:iCs/>
      <w:sz w:val="32"/>
    </w:rPr>
  </w:style>
  <w:style w:type="character" w:customStyle="1" w:styleId="Nadpis8Char">
    <w:name w:val="Nadpis 8 Char"/>
    <w:basedOn w:val="Standardnpsmoodstavce"/>
    <w:link w:val="Nadpis8"/>
    <w:rsid w:val="002F682E"/>
    <w:rPr>
      <w:bCs/>
      <w:sz w:val="28"/>
    </w:rPr>
  </w:style>
  <w:style w:type="character" w:customStyle="1" w:styleId="Nadpis9Char">
    <w:name w:val="Nadpis 9 Char"/>
    <w:basedOn w:val="Standardnpsmoodstavce"/>
    <w:link w:val="Nadpis9"/>
    <w:rsid w:val="002F682E"/>
    <w:rPr>
      <w:b/>
      <w:sz w:val="40"/>
    </w:rPr>
  </w:style>
  <w:style w:type="character" w:styleId="Hypertextovodkaz">
    <w:name w:val="Hyperlink"/>
    <w:basedOn w:val="Standardnpsmoodstavce"/>
    <w:uiPriority w:val="99"/>
    <w:semiHidden/>
    <w:unhideWhenUsed/>
    <w:rsid w:val="006F5F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F5F4B"/>
    <w:rPr>
      <w:b/>
      <w:bCs/>
    </w:rPr>
  </w:style>
  <w:style w:type="character" w:customStyle="1" w:styleId="datumclanek1">
    <w:name w:val="datumclanek1"/>
    <w:basedOn w:val="Standardnpsmoodstavce"/>
    <w:rsid w:val="006F5F4B"/>
    <w:rPr>
      <w:vanish w:val="0"/>
      <w:webHidden w:val="0"/>
      <w:color w:val="999999"/>
      <w:sz w:val="19"/>
      <w:szCs w:val="19"/>
      <w:specVanish w:val="0"/>
    </w:rPr>
  </w:style>
  <w:style w:type="character" w:styleId="Zvraznn">
    <w:name w:val="Emphasis"/>
    <w:basedOn w:val="Standardnpsmoodstavce"/>
    <w:uiPriority w:val="20"/>
    <w:qFormat/>
    <w:rsid w:val="006F5F4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F4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780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94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5317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zp.cz/" TargetMode="External"/><Relationship Id="rId12" Type="http://schemas.openxmlformats.org/officeDocument/2006/relationships/hyperlink" Target="http://www.kr-stredocesky.cz/portal/odbory/zivotni-prostredi-a-zemedelstvi/kotlikova_dotace/otazky-a-odpovedi.htm?pg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zp.cz/soubor-ke-stazeni/13/4083-metodicky_pokyn_nizkoemisni_spalovaci_zdroj.pdf" TargetMode="External"/><Relationship Id="rId11" Type="http://schemas.openxmlformats.org/officeDocument/2006/relationships/hyperlink" Target="http://www.kr-stredocesky.cz/portal/odbory/zivotni-prostredi-a-zemedelstvi/kotlikova_dotace/otazky-a-odpovedi.htm?pg=1" TargetMode="External"/><Relationship Id="rId5" Type="http://schemas.openxmlformats.org/officeDocument/2006/relationships/hyperlink" Target="http://www.mzp.cz/" TargetMode="External"/><Relationship Id="rId10" Type="http://schemas.openxmlformats.org/officeDocument/2006/relationships/hyperlink" Target="http://www.kr-stredocesky.cz/portal/odbory/zivotni-prostredi-a-zemedelstvi/kotlikova_dotace/otazky-a-odpovedi.htm?pg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ace.nzu2013.cz/np/vyhledavani-vyrobk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2013-08-26T11:27:00Z</dcterms:created>
  <dcterms:modified xsi:type="dcterms:W3CDTF">2013-08-26T11:37:00Z</dcterms:modified>
</cp:coreProperties>
</file>